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BA1" w:rsidRPr="00EE3AD3" w:rsidRDefault="00631BA1" w:rsidP="00631BA1">
      <w:pPr>
        <w:rPr>
          <w:color w:val="000000"/>
          <w:sz w:val="22"/>
          <w:shd w:val="clear" w:color="auto" w:fill="FFFFFF"/>
        </w:rPr>
      </w:pPr>
      <w:r w:rsidRPr="00EE3AD3">
        <w:rPr>
          <w:color w:val="000000"/>
          <w:sz w:val="22"/>
          <w:shd w:val="clear" w:color="auto" w:fill="FFFFFF"/>
        </w:rPr>
        <w:t>14. Hlavní charakteristické rysy našich dialektů (jednoho vybraného dialektu)</w:t>
      </w:r>
    </w:p>
    <w:p w:rsidR="00631BA1" w:rsidRDefault="00631BA1" w:rsidP="00631BA1">
      <w:pPr>
        <w:pStyle w:val="Bezmezer"/>
        <w:rPr>
          <w:shd w:val="clear" w:color="auto" w:fill="FFFFFF"/>
        </w:rPr>
      </w:pPr>
      <w:r w:rsidRPr="009F2EEF">
        <w:rPr>
          <w:u w:val="single"/>
          <w:shd w:val="clear" w:color="auto" w:fill="FFFFFF"/>
        </w:rPr>
        <w:t>Dialekt</w:t>
      </w:r>
      <w:r w:rsidRPr="00EE3AD3">
        <w:rPr>
          <w:shd w:val="clear" w:color="auto" w:fill="FFFFFF"/>
        </w:rPr>
        <w:t xml:space="preserve"> je </w:t>
      </w:r>
      <w:r>
        <w:rPr>
          <w:shd w:val="clear" w:color="auto" w:fill="FFFFFF"/>
        </w:rPr>
        <w:t>nespisovný jazykový útvar, který užívají mluvčí v určité zeměpisné oblasti</w:t>
      </w:r>
      <w:r w:rsidR="00B970E5">
        <w:rPr>
          <w:shd w:val="clear" w:color="auto" w:fill="FFFFFF"/>
        </w:rPr>
        <w:t>, jedná se o mluvené formy českého jazyka</w:t>
      </w:r>
      <w:r>
        <w:rPr>
          <w:shd w:val="clear" w:color="auto" w:fill="FFFFFF"/>
        </w:rPr>
        <w:t xml:space="preserve"> (dialektologie = obor, který se zabývá dialekty). </w:t>
      </w:r>
    </w:p>
    <w:p w:rsidR="00631BA1" w:rsidRDefault="00631BA1" w:rsidP="00631BA1">
      <w:pPr>
        <w:pStyle w:val="Bezmezer"/>
        <w:rPr>
          <w:shd w:val="clear" w:color="auto" w:fill="FFFFFF"/>
        </w:rPr>
      </w:pPr>
    </w:p>
    <w:p w:rsidR="00412FC6" w:rsidRDefault="00412FC6" w:rsidP="00631BA1">
      <w:pPr>
        <w:pStyle w:val="Bezmezer"/>
        <w:rPr>
          <w:shd w:val="clear" w:color="auto" w:fill="FFFFFF"/>
        </w:rPr>
      </w:pPr>
    </w:p>
    <w:p w:rsidR="00631BA1" w:rsidRDefault="00631BA1" w:rsidP="00631BA1">
      <w:pPr>
        <w:pStyle w:val="Bezmezer"/>
        <w:rPr>
          <w:shd w:val="clear" w:color="auto" w:fill="FFFFFF"/>
        </w:rPr>
      </w:pPr>
      <w:r>
        <w:rPr>
          <w:shd w:val="clear" w:color="auto" w:fill="FFFFFF"/>
        </w:rPr>
        <w:t xml:space="preserve">Dialekty v ČR řadíme do 4 skupin: </w:t>
      </w:r>
    </w:p>
    <w:p w:rsidR="00B970E5" w:rsidRDefault="00631BA1" w:rsidP="00631BA1">
      <w:pPr>
        <w:pStyle w:val="Bezmezer"/>
        <w:numPr>
          <w:ilvl w:val="0"/>
          <w:numId w:val="3"/>
        </w:numPr>
        <w:rPr>
          <w:u w:val="single"/>
          <w:shd w:val="clear" w:color="auto" w:fill="FFFFFF"/>
        </w:rPr>
      </w:pPr>
      <w:r w:rsidRPr="00B970E5">
        <w:rPr>
          <w:u w:val="single"/>
          <w:shd w:val="clear" w:color="auto" w:fill="FFFFFF"/>
        </w:rPr>
        <w:t>Česká</w:t>
      </w:r>
    </w:p>
    <w:p w:rsidR="00B970E5" w:rsidRPr="00B970E5" w:rsidRDefault="00B970E5" w:rsidP="00B970E5">
      <w:pPr>
        <w:pStyle w:val="Bezmezer"/>
        <w:numPr>
          <w:ilvl w:val="1"/>
          <w:numId w:val="3"/>
        </w:numPr>
        <w:rPr>
          <w:u w:val="single"/>
          <w:shd w:val="clear" w:color="auto" w:fill="FFFFFF"/>
        </w:rPr>
      </w:pPr>
      <w:r>
        <w:rPr>
          <w:shd w:val="clear" w:color="auto" w:fill="FFFFFF"/>
        </w:rPr>
        <w:t>Skupina dialektů, které se vyskytují zhruba na území historické země Čechy (interdialektem je obecná čeština)</w:t>
      </w:r>
    </w:p>
    <w:p w:rsidR="00B970E5" w:rsidRDefault="00B970E5" w:rsidP="00B970E5">
      <w:pPr>
        <w:pStyle w:val="Bezmezer"/>
        <w:numPr>
          <w:ilvl w:val="1"/>
          <w:numId w:val="3"/>
        </w:numPr>
        <w:rPr>
          <w:u w:val="single"/>
          <w:shd w:val="clear" w:color="auto" w:fill="FFFFFF"/>
        </w:rPr>
      </w:pPr>
      <w:r>
        <w:rPr>
          <w:shd w:val="clear" w:color="auto" w:fill="FFFFFF"/>
        </w:rPr>
        <w:t xml:space="preserve">Typické znaky: hlásková změna ý </w:t>
      </w:r>
      <w:r w:rsidRPr="00B970E5">
        <w:rPr>
          <w:shd w:val="clear" w:color="auto" w:fill="FFFFFF"/>
        </w:rPr>
        <w:t>&gt;</w:t>
      </w:r>
      <w:r>
        <w:rPr>
          <w:shd w:val="clear" w:color="auto" w:fill="FFFFFF"/>
        </w:rPr>
        <w:t xml:space="preserve"> ej, dvojhláska </w:t>
      </w:r>
      <w:proofErr w:type="spellStart"/>
      <w:r>
        <w:rPr>
          <w:shd w:val="clear" w:color="auto" w:fill="FFFFFF"/>
        </w:rPr>
        <w:t>ou</w:t>
      </w:r>
      <w:proofErr w:type="spellEnd"/>
      <w:r>
        <w:rPr>
          <w:shd w:val="clear" w:color="auto" w:fill="FFFFFF"/>
        </w:rPr>
        <w:t xml:space="preserve"> zachována, asimilace znělosti v případě </w:t>
      </w:r>
      <w:proofErr w:type="spellStart"/>
      <w:r>
        <w:rPr>
          <w:shd w:val="clear" w:color="auto" w:fill="FFFFFF"/>
        </w:rPr>
        <w:t>sh</w:t>
      </w:r>
      <w:proofErr w:type="spellEnd"/>
      <w:r>
        <w:rPr>
          <w:shd w:val="clear" w:color="auto" w:fill="FFFFFF"/>
        </w:rPr>
        <w:t>- je „</w:t>
      </w:r>
      <w:proofErr w:type="spellStart"/>
      <w:r>
        <w:rPr>
          <w:shd w:val="clear" w:color="auto" w:fill="FFFFFF"/>
        </w:rPr>
        <w:t>sch</w:t>
      </w:r>
      <w:proofErr w:type="spellEnd"/>
      <w:r>
        <w:rPr>
          <w:shd w:val="clear" w:color="auto" w:fill="FFFFFF"/>
        </w:rPr>
        <w:t xml:space="preserve">-“, úžení é </w:t>
      </w:r>
      <w:r w:rsidRPr="00B970E5">
        <w:rPr>
          <w:shd w:val="clear" w:color="auto" w:fill="FFFFFF"/>
        </w:rPr>
        <w:t>&gt;</w:t>
      </w:r>
      <w:r>
        <w:rPr>
          <w:shd w:val="clear" w:color="auto" w:fill="FFFFFF"/>
        </w:rPr>
        <w:t xml:space="preserve"> í (</w:t>
      </w:r>
      <w:proofErr w:type="spellStart"/>
      <w:r>
        <w:rPr>
          <w:shd w:val="clear" w:color="auto" w:fill="FFFFFF"/>
        </w:rPr>
        <w:t>dýlka</w:t>
      </w:r>
      <w:proofErr w:type="spellEnd"/>
      <w:r>
        <w:rPr>
          <w:shd w:val="clear" w:color="auto" w:fill="FFFFFF"/>
        </w:rPr>
        <w:t>), hláska –l na konci příčestí minulého jednotného čísla po souhlásce zaniká, nominativ plurálu tvrdých adjektiv má koncovku –ý (hezký holky)</w:t>
      </w:r>
      <w:r w:rsidR="00B110C8">
        <w:rPr>
          <w:shd w:val="clear" w:color="auto" w:fill="FFFFFF"/>
        </w:rPr>
        <w:t xml:space="preserve">, protetické v, tvar slovesa –nul („tisknul“), vynechávání pomocného být („já byl“), skupina </w:t>
      </w:r>
      <w:proofErr w:type="spellStart"/>
      <w:r w:rsidR="00B110C8">
        <w:rPr>
          <w:shd w:val="clear" w:color="auto" w:fill="FFFFFF"/>
        </w:rPr>
        <w:t>nš</w:t>
      </w:r>
      <w:proofErr w:type="spellEnd"/>
      <w:r w:rsidR="00B110C8">
        <w:rPr>
          <w:shd w:val="clear" w:color="auto" w:fill="FFFFFF"/>
        </w:rPr>
        <w:t xml:space="preserve"> se vyslovuje jako </w:t>
      </w:r>
      <w:proofErr w:type="spellStart"/>
      <w:r w:rsidR="00B110C8">
        <w:rPr>
          <w:shd w:val="clear" w:color="auto" w:fill="FFFFFF"/>
        </w:rPr>
        <w:t>nč</w:t>
      </w:r>
      <w:proofErr w:type="spellEnd"/>
      <w:r w:rsidR="00B110C8">
        <w:rPr>
          <w:shd w:val="clear" w:color="auto" w:fill="FFFFFF"/>
        </w:rPr>
        <w:t xml:space="preserve"> („</w:t>
      </w:r>
      <w:proofErr w:type="spellStart"/>
      <w:r w:rsidR="00B110C8">
        <w:rPr>
          <w:shd w:val="clear" w:color="auto" w:fill="FFFFFF"/>
        </w:rPr>
        <w:t>menčí</w:t>
      </w:r>
      <w:proofErr w:type="spellEnd"/>
      <w:r w:rsidR="00B110C8">
        <w:rPr>
          <w:shd w:val="clear" w:color="auto" w:fill="FFFFFF"/>
        </w:rPr>
        <w:t>“)</w:t>
      </w:r>
      <w:r>
        <w:rPr>
          <w:shd w:val="clear" w:color="auto" w:fill="FFFFFF"/>
        </w:rPr>
        <w:t xml:space="preserve"> atd.</w:t>
      </w:r>
    </w:p>
    <w:p w:rsidR="00631BA1" w:rsidRDefault="00631BA1" w:rsidP="00B970E5">
      <w:pPr>
        <w:pStyle w:val="Bezmezer"/>
        <w:numPr>
          <w:ilvl w:val="0"/>
          <w:numId w:val="3"/>
        </w:numPr>
        <w:rPr>
          <w:u w:val="single"/>
          <w:shd w:val="clear" w:color="auto" w:fill="FFFFFF"/>
        </w:rPr>
      </w:pPr>
      <w:r w:rsidRPr="00B970E5">
        <w:rPr>
          <w:u w:val="single"/>
          <w:shd w:val="clear" w:color="auto" w:fill="FFFFFF"/>
        </w:rPr>
        <w:t>Středomoravská (hanácká)</w:t>
      </w:r>
    </w:p>
    <w:p w:rsidR="00B970E5" w:rsidRPr="00B970E5" w:rsidRDefault="00B970E5" w:rsidP="00B970E5">
      <w:pPr>
        <w:pStyle w:val="Bezmezer"/>
        <w:numPr>
          <w:ilvl w:val="1"/>
          <w:numId w:val="3"/>
        </w:numPr>
        <w:rPr>
          <w:u w:val="single"/>
          <w:shd w:val="clear" w:color="auto" w:fill="FFFFFF"/>
        </w:rPr>
      </w:pPr>
      <w:r>
        <w:rPr>
          <w:shd w:val="clear" w:color="auto" w:fill="FFFFFF"/>
        </w:rPr>
        <w:t>Skupina nářečí na území střední části Moravy (hanácký interdialekt)</w:t>
      </w:r>
    </w:p>
    <w:p w:rsidR="00B970E5" w:rsidRPr="00B970E5" w:rsidRDefault="00B970E5" w:rsidP="00B970E5">
      <w:pPr>
        <w:pStyle w:val="Bezmezer"/>
        <w:numPr>
          <w:ilvl w:val="1"/>
          <w:numId w:val="3"/>
        </w:numPr>
        <w:rPr>
          <w:u w:val="single"/>
          <w:shd w:val="clear" w:color="auto" w:fill="FFFFFF"/>
        </w:rPr>
      </w:pPr>
      <w:r>
        <w:rPr>
          <w:shd w:val="clear" w:color="auto" w:fill="FFFFFF"/>
        </w:rPr>
        <w:t xml:space="preserve">Typické znaky: v minulém příčestí sloves zůstává zachováno zakončení –l oproti českým nářečím, ve kterých zanikla (kradl x </w:t>
      </w:r>
      <w:proofErr w:type="spellStart"/>
      <w:r>
        <w:rPr>
          <w:shd w:val="clear" w:color="auto" w:fill="FFFFFF"/>
        </w:rPr>
        <w:t>krad</w:t>
      </w:r>
      <w:proofErr w:type="spellEnd"/>
      <w:r>
        <w:rPr>
          <w:shd w:val="clear" w:color="auto" w:fill="FFFFFF"/>
        </w:rPr>
        <w:t xml:space="preserve">), </w:t>
      </w:r>
      <w:r w:rsidR="00B110C8">
        <w:rPr>
          <w:shd w:val="clear" w:color="auto" w:fill="FFFFFF"/>
        </w:rPr>
        <w:t xml:space="preserve">zachovala se skupina </w:t>
      </w:r>
      <w:proofErr w:type="spellStart"/>
      <w:r w:rsidR="00B110C8">
        <w:rPr>
          <w:shd w:val="clear" w:color="auto" w:fill="FFFFFF"/>
        </w:rPr>
        <w:t>šč</w:t>
      </w:r>
      <w:proofErr w:type="spellEnd"/>
      <w:r w:rsidR="00B110C8">
        <w:rPr>
          <w:shd w:val="clear" w:color="auto" w:fill="FFFFFF"/>
        </w:rPr>
        <w:t xml:space="preserve"> oproti českým nářečím, ve kterých došlo k disimilace </w:t>
      </w:r>
      <w:proofErr w:type="spellStart"/>
      <w:r w:rsidR="00B110C8">
        <w:rPr>
          <w:shd w:val="clear" w:color="auto" w:fill="FFFFFF"/>
        </w:rPr>
        <w:t>šč</w:t>
      </w:r>
      <w:proofErr w:type="spellEnd"/>
      <w:r w:rsidR="00B110C8">
        <w:rPr>
          <w:shd w:val="clear" w:color="auto" w:fill="FFFFFF"/>
        </w:rPr>
        <w:t xml:space="preserve"> </w:t>
      </w:r>
      <w:r w:rsidR="00B110C8" w:rsidRPr="00B110C8">
        <w:rPr>
          <w:shd w:val="clear" w:color="auto" w:fill="FFFFFF"/>
        </w:rPr>
        <w:t>&gt;</w:t>
      </w:r>
      <w:r w:rsidR="00B110C8">
        <w:rPr>
          <w:shd w:val="clear" w:color="auto" w:fill="FFFFFF"/>
        </w:rPr>
        <w:t xml:space="preserve"> </w:t>
      </w:r>
      <w:proofErr w:type="spellStart"/>
      <w:r w:rsidR="00B110C8">
        <w:rPr>
          <w:shd w:val="clear" w:color="auto" w:fill="FFFFFF"/>
        </w:rPr>
        <w:t>šť</w:t>
      </w:r>
      <w:proofErr w:type="spellEnd"/>
      <w:r w:rsidR="00B110C8">
        <w:rPr>
          <w:shd w:val="clear" w:color="auto" w:fill="FFFFFF"/>
        </w:rPr>
        <w:t xml:space="preserve"> (</w:t>
      </w:r>
      <w:proofErr w:type="spellStart"/>
      <w:r w:rsidR="00B110C8">
        <w:rPr>
          <w:shd w:val="clear" w:color="auto" w:fill="FFFFFF"/>
        </w:rPr>
        <w:t>ešče</w:t>
      </w:r>
      <w:proofErr w:type="spellEnd"/>
      <w:r w:rsidR="00B110C8">
        <w:rPr>
          <w:shd w:val="clear" w:color="auto" w:fill="FFFFFF"/>
        </w:rPr>
        <w:t xml:space="preserve">, </w:t>
      </w:r>
      <w:proofErr w:type="spellStart"/>
      <w:r w:rsidR="00B110C8">
        <w:rPr>
          <w:shd w:val="clear" w:color="auto" w:fill="FFFFFF"/>
        </w:rPr>
        <w:t>ščava</w:t>
      </w:r>
      <w:proofErr w:type="spellEnd"/>
      <w:r w:rsidR="00B110C8">
        <w:rPr>
          <w:shd w:val="clear" w:color="auto" w:fill="FFFFFF"/>
        </w:rPr>
        <w:t>), rozkazovací způsob má tvary „</w:t>
      </w:r>
      <w:proofErr w:type="spellStart"/>
      <w:r w:rsidR="00B110C8">
        <w:rPr>
          <w:shd w:val="clear" w:color="auto" w:fill="FFFFFF"/>
        </w:rPr>
        <w:t>sednime</w:t>
      </w:r>
      <w:proofErr w:type="spellEnd"/>
      <w:r w:rsidR="00B110C8">
        <w:rPr>
          <w:shd w:val="clear" w:color="auto" w:fill="FFFFFF"/>
        </w:rPr>
        <w:t xml:space="preserve">, </w:t>
      </w:r>
      <w:proofErr w:type="spellStart"/>
      <w:r w:rsidR="00B110C8">
        <w:rPr>
          <w:shd w:val="clear" w:color="auto" w:fill="FFFFFF"/>
        </w:rPr>
        <w:t>sednite</w:t>
      </w:r>
      <w:proofErr w:type="spellEnd"/>
      <w:r w:rsidR="00B110C8">
        <w:rPr>
          <w:shd w:val="clear" w:color="auto" w:fill="FFFFFF"/>
        </w:rPr>
        <w:t xml:space="preserve">“ (x sedněme, sedněte), v koncovkách měkkého skloňování se zachovalo nepřehlasované a (neproběhla přehláska a </w:t>
      </w:r>
      <w:r w:rsidR="00B110C8" w:rsidRPr="00B110C8">
        <w:rPr>
          <w:shd w:val="clear" w:color="auto" w:fill="FFFFFF"/>
        </w:rPr>
        <w:t>&gt;</w:t>
      </w:r>
      <w:r w:rsidR="00B110C8">
        <w:rPr>
          <w:shd w:val="clear" w:color="auto" w:fill="FFFFFF"/>
        </w:rPr>
        <w:t xml:space="preserve"> e („</w:t>
      </w:r>
      <w:proofErr w:type="spellStart"/>
      <w:r w:rsidR="00B110C8">
        <w:rPr>
          <w:shd w:val="clear" w:color="auto" w:fill="FFFFFF"/>
        </w:rPr>
        <w:t>naša</w:t>
      </w:r>
      <w:proofErr w:type="spellEnd"/>
      <w:r w:rsidR="00B110C8">
        <w:rPr>
          <w:shd w:val="clear" w:color="auto" w:fill="FFFFFF"/>
        </w:rPr>
        <w:t xml:space="preserve"> </w:t>
      </w:r>
      <w:proofErr w:type="spellStart"/>
      <w:r w:rsidR="00B110C8">
        <w:rPr>
          <w:shd w:val="clear" w:color="auto" w:fill="FFFFFF"/>
        </w:rPr>
        <w:t>ulica</w:t>
      </w:r>
      <w:proofErr w:type="spellEnd"/>
      <w:r w:rsidR="00B110C8">
        <w:rPr>
          <w:shd w:val="clear" w:color="auto" w:fill="FFFFFF"/>
        </w:rPr>
        <w:t>“), protetické v</w:t>
      </w:r>
      <w:r w:rsidR="00191B98">
        <w:rPr>
          <w:shd w:val="clear" w:color="auto" w:fill="FFFFFF"/>
        </w:rPr>
        <w:t>, substantiva na –s, -z přecházejí k měkkým typům („tři voze“)</w:t>
      </w:r>
    </w:p>
    <w:p w:rsidR="00631BA1" w:rsidRDefault="00631BA1" w:rsidP="00631BA1">
      <w:pPr>
        <w:pStyle w:val="Bezmezer"/>
        <w:numPr>
          <w:ilvl w:val="0"/>
          <w:numId w:val="3"/>
        </w:numPr>
        <w:rPr>
          <w:u w:val="single"/>
          <w:shd w:val="clear" w:color="auto" w:fill="FFFFFF"/>
        </w:rPr>
      </w:pPr>
      <w:r w:rsidRPr="009F2EEF">
        <w:rPr>
          <w:u w:val="single"/>
          <w:shd w:val="clear" w:color="auto" w:fill="FFFFFF"/>
        </w:rPr>
        <w:t>Východomoravská</w:t>
      </w:r>
      <w:r w:rsidR="00412FC6">
        <w:rPr>
          <w:u w:val="single"/>
          <w:shd w:val="clear" w:color="auto" w:fill="FFFFFF"/>
        </w:rPr>
        <w:t xml:space="preserve"> (moravskoslovenská)</w:t>
      </w:r>
    </w:p>
    <w:p w:rsidR="00B110C8" w:rsidRPr="00B110C8" w:rsidRDefault="00B110C8" w:rsidP="00B110C8">
      <w:pPr>
        <w:pStyle w:val="Bezmezer"/>
        <w:numPr>
          <w:ilvl w:val="1"/>
          <w:numId w:val="3"/>
        </w:numPr>
        <w:rPr>
          <w:szCs w:val="24"/>
          <w:u w:val="single"/>
          <w:shd w:val="clear" w:color="auto" w:fill="FFFFFF"/>
        </w:rPr>
      </w:pPr>
      <w:r w:rsidRPr="00B110C8">
        <w:rPr>
          <w:szCs w:val="24"/>
          <w:shd w:val="clear" w:color="auto" w:fill="FFFFFF"/>
        </w:rPr>
        <w:t>Skupina nářečí na východní a jihovýchodní Moravě a střední části Moravy</w:t>
      </w:r>
    </w:p>
    <w:p w:rsidR="00B110C8" w:rsidRPr="00B110C8" w:rsidRDefault="00B110C8" w:rsidP="00B110C8">
      <w:pPr>
        <w:pStyle w:val="Bezmezer"/>
        <w:numPr>
          <w:ilvl w:val="1"/>
          <w:numId w:val="3"/>
        </w:numPr>
        <w:rPr>
          <w:szCs w:val="24"/>
          <w:u w:val="single"/>
          <w:shd w:val="clear" w:color="auto" w:fill="FFFFFF"/>
        </w:rPr>
      </w:pPr>
      <w:r w:rsidRPr="00B110C8">
        <w:rPr>
          <w:szCs w:val="24"/>
          <w:shd w:val="clear" w:color="auto" w:fill="FFFFFF"/>
        </w:rPr>
        <w:t xml:space="preserve">Hlavní znaky: změna </w:t>
      </w:r>
      <w:proofErr w:type="spellStart"/>
      <w:r w:rsidRPr="00B110C8">
        <w:rPr>
          <w:szCs w:val="24"/>
          <w:shd w:val="clear" w:color="auto" w:fill="FFFFFF"/>
        </w:rPr>
        <w:t>ou</w:t>
      </w:r>
      <w:proofErr w:type="spellEnd"/>
      <w:r w:rsidRPr="00B110C8">
        <w:rPr>
          <w:szCs w:val="24"/>
          <w:shd w:val="clear" w:color="auto" w:fill="FFFFFF"/>
        </w:rPr>
        <w:t xml:space="preserve"> na ú (</w:t>
      </w:r>
      <w:proofErr w:type="spellStart"/>
      <w:r w:rsidRPr="00B110C8">
        <w:rPr>
          <w:szCs w:val="24"/>
          <w:shd w:val="clear" w:color="auto" w:fill="FFFFFF"/>
        </w:rPr>
        <w:t>nesú</w:t>
      </w:r>
      <w:proofErr w:type="spellEnd"/>
      <w:r w:rsidRPr="00B110C8">
        <w:rPr>
          <w:szCs w:val="24"/>
          <w:shd w:val="clear" w:color="auto" w:fill="FFFFFF"/>
        </w:rPr>
        <w:t xml:space="preserve">), </w:t>
      </w:r>
      <w:hyperlink r:id="rId5" w:tooltip="Asimilace znělosti" w:history="1">
        <w:r w:rsidRPr="00B110C8">
          <w:rPr>
            <w:rFonts w:eastAsia="Times New Roman" w:cs="Arial"/>
            <w:bCs/>
            <w:szCs w:val="24"/>
            <w:lang w:eastAsia="cs-CZ"/>
          </w:rPr>
          <w:t>asimilace znělosti</w:t>
        </w:r>
      </w:hyperlink>
      <w:r w:rsidRPr="00B110C8">
        <w:rPr>
          <w:rFonts w:eastAsia="Times New Roman" w:cs="Arial"/>
          <w:bCs/>
          <w:szCs w:val="24"/>
          <w:lang w:eastAsia="cs-CZ"/>
        </w:rPr>
        <w:t> </w:t>
      </w:r>
      <w:proofErr w:type="spellStart"/>
      <w:r w:rsidRPr="00B110C8">
        <w:rPr>
          <w:rFonts w:eastAsia="Times New Roman" w:cs="Arial"/>
          <w:bCs/>
          <w:iCs/>
          <w:szCs w:val="24"/>
          <w:lang w:eastAsia="cs-CZ"/>
        </w:rPr>
        <w:t>sh</w:t>
      </w:r>
      <w:proofErr w:type="spellEnd"/>
      <w:r w:rsidRPr="00B110C8">
        <w:rPr>
          <w:rFonts w:eastAsia="Times New Roman" w:cs="Arial"/>
          <w:bCs/>
          <w:szCs w:val="24"/>
          <w:lang w:eastAsia="cs-CZ"/>
        </w:rPr>
        <w:t> na </w:t>
      </w:r>
      <w:proofErr w:type="spellStart"/>
      <w:r w:rsidRPr="00B110C8">
        <w:rPr>
          <w:rFonts w:eastAsia="Times New Roman" w:cs="Arial"/>
          <w:bCs/>
          <w:iCs/>
          <w:szCs w:val="24"/>
          <w:lang w:eastAsia="cs-CZ"/>
        </w:rPr>
        <w:t>zh</w:t>
      </w:r>
      <w:proofErr w:type="spellEnd"/>
      <w:r w:rsidRPr="00B110C8">
        <w:rPr>
          <w:rFonts w:eastAsia="Times New Roman" w:cs="Arial"/>
          <w:bCs/>
          <w:iCs/>
          <w:szCs w:val="24"/>
          <w:lang w:eastAsia="cs-CZ"/>
        </w:rPr>
        <w:t xml:space="preserve">, </w:t>
      </w:r>
      <w:hyperlink r:id="rId6" w:tooltip="Asimilace znělosti" w:history="1">
        <w:r w:rsidRPr="00B110C8">
          <w:rPr>
            <w:rFonts w:eastAsia="Times New Roman" w:cs="Arial"/>
            <w:bCs/>
            <w:szCs w:val="24"/>
            <w:lang w:eastAsia="cs-CZ"/>
          </w:rPr>
          <w:t>asimilace znělosti</w:t>
        </w:r>
      </w:hyperlink>
      <w:r w:rsidRPr="00B110C8">
        <w:rPr>
          <w:rFonts w:eastAsia="Times New Roman" w:cs="Arial"/>
          <w:bCs/>
          <w:szCs w:val="24"/>
          <w:lang w:eastAsia="cs-CZ"/>
        </w:rPr>
        <w:t> </w:t>
      </w:r>
      <w:proofErr w:type="spellStart"/>
      <w:r w:rsidRPr="00B110C8">
        <w:rPr>
          <w:rFonts w:eastAsia="Times New Roman" w:cs="Arial"/>
          <w:bCs/>
          <w:iCs/>
          <w:szCs w:val="24"/>
          <w:lang w:eastAsia="cs-CZ"/>
        </w:rPr>
        <w:t>sh</w:t>
      </w:r>
      <w:proofErr w:type="spellEnd"/>
      <w:r w:rsidRPr="00B110C8">
        <w:rPr>
          <w:rFonts w:eastAsia="Times New Roman" w:cs="Arial"/>
          <w:bCs/>
          <w:szCs w:val="24"/>
          <w:lang w:eastAsia="cs-CZ"/>
        </w:rPr>
        <w:t> na </w:t>
      </w:r>
      <w:proofErr w:type="spellStart"/>
      <w:r w:rsidRPr="00B110C8">
        <w:rPr>
          <w:rFonts w:eastAsia="Times New Roman" w:cs="Arial"/>
          <w:bCs/>
          <w:iCs/>
          <w:szCs w:val="24"/>
          <w:lang w:eastAsia="cs-CZ"/>
        </w:rPr>
        <w:t>zh</w:t>
      </w:r>
      <w:proofErr w:type="spellEnd"/>
      <w:r w:rsidRPr="00B110C8">
        <w:rPr>
          <w:rFonts w:eastAsia="Times New Roman" w:cs="Arial"/>
          <w:bCs/>
          <w:iCs/>
          <w:szCs w:val="24"/>
          <w:lang w:eastAsia="cs-CZ"/>
        </w:rPr>
        <w:t xml:space="preserve">, </w:t>
      </w:r>
      <w:r w:rsidRPr="00B110C8">
        <w:rPr>
          <w:rFonts w:eastAsia="Times New Roman" w:cs="Arial"/>
          <w:szCs w:val="24"/>
          <w:lang w:eastAsia="cs-CZ"/>
        </w:rPr>
        <w:t>v první osobě minulého času je pomocné sloveso vždy zachováváno, místo spojky i se používá slovo aj, znělé hlásky před jedinečnými samohláskami (například </w:t>
      </w:r>
      <w:r w:rsidRPr="00B110C8">
        <w:rPr>
          <w:rFonts w:eastAsia="Times New Roman" w:cs="Arial"/>
          <w:iCs/>
          <w:szCs w:val="24"/>
          <w:lang w:eastAsia="cs-CZ"/>
        </w:rPr>
        <w:t>g nám</w:t>
      </w:r>
      <w:r w:rsidRPr="00B110C8">
        <w:rPr>
          <w:rFonts w:eastAsia="Times New Roman" w:cs="Arial"/>
          <w:szCs w:val="24"/>
          <w:lang w:eastAsia="cs-CZ"/>
        </w:rPr>
        <w:t> místo </w:t>
      </w:r>
      <w:r w:rsidRPr="00B110C8">
        <w:rPr>
          <w:rFonts w:eastAsia="Times New Roman" w:cs="Arial"/>
          <w:iCs/>
          <w:szCs w:val="24"/>
          <w:lang w:eastAsia="cs-CZ"/>
        </w:rPr>
        <w:t>k nám</w:t>
      </w:r>
      <w:r w:rsidRPr="00B110C8">
        <w:rPr>
          <w:rFonts w:eastAsia="Times New Roman" w:cs="Arial"/>
          <w:szCs w:val="24"/>
          <w:lang w:eastAsia="cs-CZ"/>
        </w:rPr>
        <w:t>), sloveso "být" má v 1. osobě jednotného čísla tvar </w:t>
      </w:r>
      <w:r w:rsidRPr="00B110C8">
        <w:rPr>
          <w:rFonts w:eastAsia="Times New Roman" w:cs="Arial"/>
          <w:iCs/>
          <w:szCs w:val="24"/>
          <w:lang w:eastAsia="cs-CZ"/>
        </w:rPr>
        <w:t>sem</w:t>
      </w:r>
      <w:r w:rsidRPr="00B110C8">
        <w:rPr>
          <w:rFonts w:eastAsia="Times New Roman" w:cs="Arial"/>
          <w:szCs w:val="24"/>
          <w:lang w:eastAsia="cs-CZ"/>
        </w:rPr>
        <w:t> jako pomocné sloveso a tvar </w:t>
      </w:r>
      <w:proofErr w:type="spellStart"/>
      <w:r w:rsidRPr="00B110C8">
        <w:rPr>
          <w:rFonts w:eastAsia="Times New Roman" w:cs="Arial"/>
          <w:iCs/>
          <w:szCs w:val="24"/>
          <w:lang w:eastAsia="cs-CZ"/>
        </w:rPr>
        <w:t>su</w:t>
      </w:r>
      <w:proofErr w:type="spellEnd"/>
      <w:r w:rsidRPr="00B110C8">
        <w:rPr>
          <w:rFonts w:eastAsia="Times New Roman" w:cs="Arial"/>
          <w:szCs w:val="24"/>
          <w:lang w:eastAsia="cs-CZ"/>
        </w:rPr>
        <w:t> jako sponové sloveso a ve významu </w:t>
      </w:r>
      <w:r w:rsidRPr="00B110C8">
        <w:rPr>
          <w:rFonts w:eastAsia="Times New Roman" w:cs="Arial"/>
          <w:iCs/>
          <w:szCs w:val="24"/>
          <w:lang w:eastAsia="cs-CZ"/>
        </w:rPr>
        <w:t xml:space="preserve">existovat, </w:t>
      </w:r>
      <w:r w:rsidRPr="00B110C8">
        <w:rPr>
          <w:rFonts w:eastAsia="Times New Roman" w:cs="Arial"/>
          <w:szCs w:val="24"/>
          <w:lang w:eastAsia="cs-CZ"/>
        </w:rPr>
        <w:t>nestažené podoby při skloňování slov </w:t>
      </w:r>
      <w:r w:rsidRPr="00B110C8">
        <w:rPr>
          <w:rFonts w:eastAsia="Times New Roman" w:cs="Arial"/>
          <w:iCs/>
          <w:szCs w:val="24"/>
          <w:lang w:eastAsia="cs-CZ"/>
        </w:rPr>
        <w:t>můj, tvůj, svůj</w:t>
      </w:r>
      <w:r w:rsidRPr="00B110C8">
        <w:rPr>
          <w:rFonts w:eastAsia="Times New Roman" w:cs="Arial"/>
          <w:szCs w:val="24"/>
          <w:lang w:eastAsia="cs-CZ"/>
        </w:rPr>
        <w:t> (</w:t>
      </w:r>
      <w:proofErr w:type="spellStart"/>
      <w:r w:rsidRPr="00B110C8">
        <w:rPr>
          <w:rFonts w:eastAsia="Times New Roman" w:cs="Arial"/>
          <w:iCs/>
          <w:szCs w:val="24"/>
          <w:lang w:eastAsia="cs-CZ"/>
        </w:rPr>
        <w:t>mojeho</w:t>
      </w:r>
      <w:proofErr w:type="spellEnd"/>
      <w:r w:rsidRPr="00B110C8">
        <w:rPr>
          <w:rFonts w:eastAsia="Times New Roman" w:cs="Arial"/>
          <w:iCs/>
          <w:szCs w:val="24"/>
          <w:lang w:eastAsia="cs-CZ"/>
        </w:rPr>
        <w:t xml:space="preserve">, </w:t>
      </w:r>
      <w:proofErr w:type="spellStart"/>
      <w:r w:rsidRPr="00B110C8">
        <w:rPr>
          <w:rFonts w:eastAsia="Times New Roman" w:cs="Arial"/>
          <w:iCs/>
          <w:szCs w:val="24"/>
          <w:lang w:eastAsia="cs-CZ"/>
        </w:rPr>
        <w:t>tvojeho</w:t>
      </w:r>
      <w:proofErr w:type="spellEnd"/>
      <w:r w:rsidRPr="00B110C8">
        <w:rPr>
          <w:rFonts w:eastAsia="Times New Roman" w:cs="Arial"/>
          <w:iCs/>
          <w:szCs w:val="24"/>
          <w:lang w:eastAsia="cs-CZ"/>
        </w:rPr>
        <w:t xml:space="preserve">, </w:t>
      </w:r>
      <w:proofErr w:type="spellStart"/>
      <w:r w:rsidRPr="00B110C8">
        <w:rPr>
          <w:rFonts w:eastAsia="Times New Roman" w:cs="Arial"/>
          <w:iCs/>
          <w:szCs w:val="24"/>
          <w:lang w:eastAsia="cs-CZ"/>
        </w:rPr>
        <w:t>svojeho</w:t>
      </w:r>
      <w:proofErr w:type="spellEnd"/>
      <w:r w:rsidRPr="00B110C8">
        <w:rPr>
          <w:rFonts w:eastAsia="Times New Roman" w:cs="Arial"/>
          <w:szCs w:val="24"/>
          <w:lang w:eastAsia="cs-CZ"/>
        </w:rPr>
        <w:t>), přivlastňovací zájmena mají v akuzativu singuláru koncovku </w:t>
      </w:r>
      <w:r w:rsidRPr="00B110C8">
        <w:rPr>
          <w:rFonts w:eastAsia="Times New Roman" w:cs="Arial"/>
          <w:iCs/>
          <w:szCs w:val="24"/>
          <w:lang w:eastAsia="cs-CZ"/>
        </w:rPr>
        <w:t>-u</w:t>
      </w:r>
      <w:r w:rsidRPr="00B110C8">
        <w:rPr>
          <w:rFonts w:eastAsia="Times New Roman" w:cs="Arial"/>
          <w:szCs w:val="24"/>
          <w:lang w:eastAsia="cs-CZ"/>
        </w:rPr>
        <w:t> (</w:t>
      </w:r>
      <w:r w:rsidRPr="00B110C8">
        <w:rPr>
          <w:rFonts w:eastAsia="Times New Roman" w:cs="Arial"/>
          <w:iCs/>
          <w:szCs w:val="24"/>
          <w:lang w:eastAsia="cs-CZ"/>
        </w:rPr>
        <w:t xml:space="preserve">vidím </w:t>
      </w:r>
      <w:proofErr w:type="spellStart"/>
      <w:r w:rsidRPr="00B110C8">
        <w:rPr>
          <w:rFonts w:eastAsia="Times New Roman" w:cs="Arial"/>
          <w:iCs/>
          <w:szCs w:val="24"/>
          <w:lang w:eastAsia="cs-CZ"/>
        </w:rPr>
        <w:t>moju</w:t>
      </w:r>
      <w:proofErr w:type="spellEnd"/>
      <w:r w:rsidRPr="00B110C8">
        <w:rPr>
          <w:rFonts w:eastAsia="Times New Roman" w:cs="Arial"/>
          <w:iCs/>
          <w:szCs w:val="24"/>
          <w:lang w:eastAsia="cs-CZ"/>
        </w:rPr>
        <w:t xml:space="preserve">, </w:t>
      </w:r>
      <w:proofErr w:type="spellStart"/>
      <w:r w:rsidRPr="00B110C8">
        <w:rPr>
          <w:rFonts w:eastAsia="Times New Roman" w:cs="Arial"/>
          <w:iCs/>
          <w:szCs w:val="24"/>
          <w:lang w:eastAsia="cs-CZ"/>
        </w:rPr>
        <w:t>svoju</w:t>
      </w:r>
      <w:proofErr w:type="spellEnd"/>
      <w:r w:rsidRPr="00B110C8">
        <w:rPr>
          <w:rFonts w:eastAsia="Times New Roman" w:cs="Arial"/>
          <w:iCs/>
          <w:szCs w:val="24"/>
          <w:lang w:eastAsia="cs-CZ"/>
        </w:rPr>
        <w:t xml:space="preserve">, </w:t>
      </w:r>
      <w:proofErr w:type="spellStart"/>
      <w:r w:rsidRPr="00B110C8">
        <w:rPr>
          <w:rFonts w:eastAsia="Times New Roman" w:cs="Arial"/>
          <w:iCs/>
          <w:szCs w:val="24"/>
          <w:lang w:eastAsia="cs-CZ"/>
        </w:rPr>
        <w:t>našu</w:t>
      </w:r>
      <w:proofErr w:type="spellEnd"/>
      <w:r w:rsidRPr="00B110C8">
        <w:rPr>
          <w:rFonts w:eastAsia="Times New Roman" w:cs="Arial"/>
          <w:iCs/>
          <w:szCs w:val="24"/>
          <w:lang w:eastAsia="cs-CZ"/>
        </w:rPr>
        <w:t xml:space="preserve">, </w:t>
      </w:r>
      <w:proofErr w:type="spellStart"/>
      <w:r w:rsidRPr="00B110C8">
        <w:rPr>
          <w:rFonts w:eastAsia="Times New Roman" w:cs="Arial"/>
          <w:iCs/>
          <w:szCs w:val="24"/>
          <w:lang w:eastAsia="cs-CZ"/>
        </w:rPr>
        <w:t>vašu</w:t>
      </w:r>
      <w:proofErr w:type="spellEnd"/>
      <w:r w:rsidRPr="00B110C8">
        <w:rPr>
          <w:rFonts w:eastAsia="Times New Roman" w:cs="Arial"/>
          <w:szCs w:val="24"/>
          <w:lang w:eastAsia="cs-CZ"/>
        </w:rPr>
        <w:t>) a v instrumentálu </w:t>
      </w:r>
      <w:r w:rsidRPr="00B110C8">
        <w:rPr>
          <w:rFonts w:eastAsia="Times New Roman" w:cs="Arial"/>
          <w:iCs/>
          <w:szCs w:val="24"/>
          <w:lang w:eastAsia="cs-CZ"/>
        </w:rPr>
        <w:t>-ú</w:t>
      </w:r>
      <w:r w:rsidRPr="00B110C8">
        <w:rPr>
          <w:rFonts w:eastAsia="Times New Roman" w:cs="Arial"/>
          <w:szCs w:val="24"/>
          <w:lang w:eastAsia="cs-CZ"/>
        </w:rPr>
        <w:t> (</w:t>
      </w:r>
      <w:r w:rsidRPr="00B110C8">
        <w:rPr>
          <w:rFonts w:eastAsia="Times New Roman" w:cs="Arial"/>
          <w:iCs/>
          <w:szCs w:val="24"/>
          <w:lang w:eastAsia="cs-CZ"/>
        </w:rPr>
        <w:t xml:space="preserve">s </w:t>
      </w:r>
      <w:proofErr w:type="spellStart"/>
      <w:r w:rsidRPr="00B110C8">
        <w:rPr>
          <w:rFonts w:eastAsia="Times New Roman" w:cs="Arial"/>
          <w:iCs/>
          <w:szCs w:val="24"/>
          <w:lang w:eastAsia="cs-CZ"/>
        </w:rPr>
        <w:t>mojú</w:t>
      </w:r>
      <w:proofErr w:type="spellEnd"/>
      <w:r w:rsidRPr="00B110C8">
        <w:rPr>
          <w:rFonts w:eastAsia="Times New Roman" w:cs="Arial"/>
          <w:iCs/>
          <w:szCs w:val="24"/>
          <w:lang w:eastAsia="cs-CZ"/>
        </w:rPr>
        <w:t xml:space="preserve">, </w:t>
      </w:r>
      <w:proofErr w:type="spellStart"/>
      <w:r w:rsidRPr="00B110C8">
        <w:rPr>
          <w:rFonts w:eastAsia="Times New Roman" w:cs="Arial"/>
          <w:iCs/>
          <w:szCs w:val="24"/>
          <w:lang w:eastAsia="cs-CZ"/>
        </w:rPr>
        <w:t>svojú</w:t>
      </w:r>
      <w:proofErr w:type="spellEnd"/>
      <w:r w:rsidRPr="00B110C8">
        <w:rPr>
          <w:rFonts w:eastAsia="Times New Roman" w:cs="Arial"/>
          <w:iCs/>
          <w:szCs w:val="24"/>
          <w:lang w:eastAsia="cs-CZ"/>
        </w:rPr>
        <w:t xml:space="preserve">, </w:t>
      </w:r>
      <w:proofErr w:type="spellStart"/>
      <w:r w:rsidRPr="00B110C8">
        <w:rPr>
          <w:rFonts w:eastAsia="Times New Roman" w:cs="Arial"/>
          <w:iCs/>
          <w:szCs w:val="24"/>
          <w:lang w:eastAsia="cs-CZ"/>
        </w:rPr>
        <w:t>našú</w:t>
      </w:r>
      <w:proofErr w:type="spellEnd"/>
      <w:r w:rsidRPr="00B110C8">
        <w:rPr>
          <w:rFonts w:eastAsia="Times New Roman" w:cs="Arial"/>
          <w:iCs/>
          <w:szCs w:val="24"/>
          <w:lang w:eastAsia="cs-CZ"/>
        </w:rPr>
        <w:t xml:space="preserve">, </w:t>
      </w:r>
      <w:proofErr w:type="spellStart"/>
      <w:r w:rsidRPr="00B110C8">
        <w:rPr>
          <w:rFonts w:eastAsia="Times New Roman" w:cs="Arial"/>
          <w:iCs/>
          <w:szCs w:val="24"/>
          <w:lang w:eastAsia="cs-CZ"/>
        </w:rPr>
        <w:t>vašú</w:t>
      </w:r>
      <w:proofErr w:type="spellEnd"/>
      <w:r w:rsidRPr="00B110C8">
        <w:rPr>
          <w:rFonts w:eastAsia="Times New Roman" w:cs="Arial"/>
          <w:iCs/>
          <w:szCs w:val="24"/>
          <w:lang w:eastAsia="cs-CZ"/>
        </w:rPr>
        <w:t>)</w:t>
      </w:r>
      <w:r>
        <w:rPr>
          <w:rFonts w:eastAsia="Times New Roman" w:cs="Arial"/>
          <w:iCs/>
          <w:szCs w:val="24"/>
          <w:lang w:eastAsia="cs-CZ"/>
        </w:rPr>
        <w:t>, nadměrná kvantita („</w:t>
      </w:r>
      <w:proofErr w:type="spellStart"/>
      <w:r>
        <w:rPr>
          <w:rFonts w:eastAsia="Times New Roman" w:cs="Arial"/>
          <w:iCs/>
          <w:szCs w:val="24"/>
          <w:lang w:eastAsia="cs-CZ"/>
        </w:rPr>
        <w:t>nésl</w:t>
      </w:r>
      <w:proofErr w:type="spellEnd"/>
      <w:r>
        <w:rPr>
          <w:rFonts w:eastAsia="Times New Roman" w:cs="Arial"/>
          <w:iCs/>
          <w:szCs w:val="24"/>
          <w:lang w:eastAsia="cs-CZ"/>
        </w:rPr>
        <w:t xml:space="preserve">“), reflexivum se </w:t>
      </w:r>
      <w:r w:rsidRPr="00B110C8">
        <w:rPr>
          <w:rFonts w:eastAsia="Times New Roman" w:cs="Arial"/>
          <w:iCs/>
          <w:szCs w:val="24"/>
          <w:lang w:eastAsia="cs-CZ"/>
        </w:rPr>
        <w:t>&gt;</w:t>
      </w:r>
      <w:r>
        <w:rPr>
          <w:rFonts w:eastAsia="Times New Roman" w:cs="Arial"/>
          <w:iCs/>
          <w:szCs w:val="24"/>
          <w:lang w:eastAsia="cs-CZ"/>
        </w:rPr>
        <w:t xml:space="preserve"> </w:t>
      </w:r>
      <w:proofErr w:type="spellStart"/>
      <w:r>
        <w:rPr>
          <w:rFonts w:eastAsia="Times New Roman" w:cs="Arial"/>
          <w:iCs/>
          <w:szCs w:val="24"/>
          <w:lang w:eastAsia="cs-CZ"/>
        </w:rPr>
        <w:t>sa</w:t>
      </w:r>
      <w:proofErr w:type="spellEnd"/>
      <w:r w:rsidRPr="00B110C8">
        <w:rPr>
          <w:rFonts w:eastAsia="Times New Roman" w:cs="Arial"/>
          <w:iCs/>
          <w:szCs w:val="24"/>
          <w:lang w:eastAsia="cs-CZ"/>
        </w:rPr>
        <w:t xml:space="preserve"> atd.</w:t>
      </w:r>
    </w:p>
    <w:p w:rsidR="00631BA1" w:rsidRPr="00B110C8" w:rsidRDefault="00631BA1" w:rsidP="00631BA1">
      <w:pPr>
        <w:pStyle w:val="Bezmezer"/>
        <w:numPr>
          <w:ilvl w:val="0"/>
          <w:numId w:val="3"/>
        </w:numPr>
        <w:rPr>
          <w:szCs w:val="24"/>
          <w:u w:val="single"/>
          <w:shd w:val="clear" w:color="auto" w:fill="FFFFFF"/>
        </w:rPr>
      </w:pPr>
      <w:r w:rsidRPr="00B110C8">
        <w:rPr>
          <w:szCs w:val="24"/>
          <w:u w:val="single"/>
          <w:shd w:val="clear" w:color="auto" w:fill="FFFFFF"/>
        </w:rPr>
        <w:t>Slezská</w:t>
      </w:r>
    </w:p>
    <w:p w:rsidR="00B110C8" w:rsidRPr="00B110C8" w:rsidRDefault="00B110C8" w:rsidP="00B110C8">
      <w:pPr>
        <w:pStyle w:val="Bezmezer"/>
        <w:numPr>
          <w:ilvl w:val="1"/>
          <w:numId w:val="3"/>
        </w:numPr>
        <w:rPr>
          <w:szCs w:val="24"/>
          <w:shd w:val="clear" w:color="auto" w:fill="FFFFFF"/>
        </w:rPr>
      </w:pPr>
      <w:r w:rsidRPr="00B110C8">
        <w:rPr>
          <w:szCs w:val="24"/>
          <w:shd w:val="clear" w:color="auto" w:fill="FFFFFF"/>
        </w:rPr>
        <w:t>Dialekty na území Slezska</w:t>
      </w:r>
    </w:p>
    <w:p w:rsidR="00B110C8" w:rsidRPr="00B110C8" w:rsidRDefault="00B110C8" w:rsidP="00B110C8">
      <w:pPr>
        <w:pStyle w:val="Bezmezer"/>
        <w:numPr>
          <w:ilvl w:val="1"/>
          <w:numId w:val="3"/>
        </w:numPr>
        <w:rPr>
          <w:szCs w:val="24"/>
          <w:shd w:val="clear" w:color="auto" w:fill="FFFFFF"/>
        </w:rPr>
      </w:pPr>
      <w:r w:rsidRPr="00B110C8">
        <w:rPr>
          <w:szCs w:val="24"/>
          <w:shd w:val="clear" w:color="auto" w:fill="FFFFFF"/>
        </w:rPr>
        <w:t>Typické znaky: moravská krátkost, neproběhla přehláska a &gt; e („</w:t>
      </w:r>
      <w:proofErr w:type="spellStart"/>
      <w:r w:rsidRPr="00B110C8">
        <w:rPr>
          <w:szCs w:val="24"/>
          <w:shd w:val="clear" w:color="auto" w:fill="FFFFFF"/>
        </w:rPr>
        <w:t>naša</w:t>
      </w:r>
      <w:proofErr w:type="spellEnd"/>
      <w:r w:rsidRPr="00B110C8">
        <w:rPr>
          <w:szCs w:val="24"/>
          <w:shd w:val="clear" w:color="auto" w:fill="FFFFFF"/>
        </w:rPr>
        <w:t xml:space="preserve"> kaša“), opozice i/y, opozice l/</w:t>
      </w:r>
      <w:r w:rsidRPr="00B110C8">
        <w:rPr>
          <w:rFonts w:cs="Arial"/>
          <w:bCs/>
          <w:iCs/>
          <w:color w:val="000000"/>
          <w:szCs w:val="24"/>
          <w:shd w:val="clear" w:color="auto" w:fill="FFFFFF"/>
        </w:rPr>
        <w:t xml:space="preserve"> ł, uchovávání pomocného být („já jsem byl“), uchovávání životnosti („ti chytří studenti“), výslovnost </w:t>
      </w:r>
      <w:proofErr w:type="spellStart"/>
      <w:r w:rsidRPr="00B110C8">
        <w:rPr>
          <w:rFonts w:cs="Arial"/>
          <w:bCs/>
          <w:iCs/>
          <w:color w:val="000000"/>
          <w:szCs w:val="24"/>
          <w:shd w:val="clear" w:color="auto" w:fill="FFFFFF"/>
        </w:rPr>
        <w:t>sh</w:t>
      </w:r>
      <w:proofErr w:type="spellEnd"/>
      <w:r w:rsidRPr="00B110C8">
        <w:rPr>
          <w:rFonts w:cs="Arial"/>
          <w:bCs/>
          <w:iCs/>
          <w:color w:val="000000"/>
          <w:szCs w:val="24"/>
          <w:shd w:val="clear" w:color="auto" w:fill="FFFFFF"/>
        </w:rPr>
        <w:t xml:space="preserve"> jako „</w:t>
      </w:r>
      <w:proofErr w:type="spellStart"/>
      <w:r w:rsidRPr="00B110C8">
        <w:rPr>
          <w:rFonts w:cs="Arial"/>
          <w:bCs/>
          <w:iCs/>
          <w:color w:val="000000"/>
          <w:szCs w:val="24"/>
          <w:shd w:val="clear" w:color="auto" w:fill="FFFFFF"/>
        </w:rPr>
        <w:t>sh</w:t>
      </w:r>
      <w:proofErr w:type="spellEnd"/>
      <w:r w:rsidRPr="00B110C8">
        <w:rPr>
          <w:rFonts w:cs="Arial"/>
          <w:bCs/>
          <w:iCs/>
          <w:color w:val="000000"/>
          <w:szCs w:val="24"/>
          <w:shd w:val="clear" w:color="auto" w:fill="FFFFFF"/>
        </w:rPr>
        <w:t xml:space="preserve">“, neproběhla disimilace </w:t>
      </w:r>
      <w:proofErr w:type="spellStart"/>
      <w:r w:rsidRPr="00B110C8">
        <w:rPr>
          <w:rFonts w:cs="Arial"/>
          <w:bCs/>
          <w:iCs/>
          <w:color w:val="000000"/>
          <w:szCs w:val="24"/>
          <w:shd w:val="clear" w:color="auto" w:fill="FFFFFF"/>
        </w:rPr>
        <w:t>šč</w:t>
      </w:r>
      <w:proofErr w:type="spellEnd"/>
      <w:r w:rsidRPr="00B110C8">
        <w:rPr>
          <w:rFonts w:cs="Arial"/>
          <w:bCs/>
          <w:iCs/>
          <w:color w:val="000000"/>
          <w:szCs w:val="24"/>
          <w:shd w:val="clear" w:color="auto" w:fill="FFFFFF"/>
        </w:rPr>
        <w:t xml:space="preserve"> &gt; </w:t>
      </w:r>
      <w:proofErr w:type="spellStart"/>
      <w:r w:rsidRPr="00B110C8">
        <w:rPr>
          <w:rFonts w:cs="Arial"/>
          <w:bCs/>
          <w:iCs/>
          <w:color w:val="000000"/>
          <w:szCs w:val="24"/>
          <w:shd w:val="clear" w:color="auto" w:fill="FFFFFF"/>
        </w:rPr>
        <w:t>šť</w:t>
      </w:r>
      <w:proofErr w:type="spellEnd"/>
      <w:r w:rsidRPr="00B110C8">
        <w:rPr>
          <w:rFonts w:cs="Arial"/>
          <w:bCs/>
          <w:iCs/>
          <w:color w:val="000000"/>
          <w:szCs w:val="24"/>
          <w:shd w:val="clear" w:color="auto" w:fill="FFFFFF"/>
        </w:rPr>
        <w:t xml:space="preserve"> („</w:t>
      </w:r>
      <w:proofErr w:type="spellStart"/>
      <w:r w:rsidRPr="00B110C8">
        <w:rPr>
          <w:rFonts w:cs="Arial"/>
          <w:bCs/>
          <w:iCs/>
          <w:color w:val="000000"/>
          <w:szCs w:val="24"/>
          <w:shd w:val="clear" w:color="auto" w:fill="FFFFFF"/>
        </w:rPr>
        <w:t>ešče</w:t>
      </w:r>
      <w:proofErr w:type="spellEnd"/>
      <w:r w:rsidRPr="00B110C8">
        <w:rPr>
          <w:rFonts w:cs="Arial"/>
          <w:bCs/>
          <w:iCs/>
          <w:color w:val="000000"/>
          <w:szCs w:val="24"/>
          <w:shd w:val="clear" w:color="auto" w:fill="FFFFFF"/>
        </w:rPr>
        <w:t>“) atd.</w:t>
      </w:r>
    </w:p>
    <w:p w:rsidR="00631BA1" w:rsidRPr="00B110C8" w:rsidRDefault="00631BA1" w:rsidP="00631BA1">
      <w:pPr>
        <w:pStyle w:val="Bezmezer"/>
        <w:rPr>
          <w:szCs w:val="24"/>
          <w:shd w:val="clear" w:color="auto" w:fill="FFFFFF"/>
        </w:rPr>
      </w:pPr>
    </w:p>
    <w:p w:rsidR="00B970E5" w:rsidRPr="00B110C8" w:rsidRDefault="00B970E5" w:rsidP="00631BA1">
      <w:pPr>
        <w:pStyle w:val="Bezmezer"/>
        <w:rPr>
          <w:szCs w:val="24"/>
          <w:shd w:val="clear" w:color="auto" w:fill="FFFFFF"/>
        </w:rPr>
      </w:pPr>
    </w:p>
    <w:p w:rsidR="00B970E5" w:rsidRDefault="00B970E5" w:rsidP="00412FC6">
      <w:pPr>
        <w:pStyle w:val="Bezmezer"/>
        <w:rPr>
          <w:shd w:val="clear" w:color="auto" w:fill="FFFFFF"/>
        </w:rPr>
      </w:pPr>
      <w:r>
        <w:rPr>
          <w:shd w:val="clear" w:color="auto" w:fill="FFFFFF"/>
        </w:rPr>
        <w:t xml:space="preserve">Dialekty dělíme do skupin podle rozdílů v hláskosloví, které v jednotlivých regionech probíhaly. Změny probíhaly již od 15. století, nezasáhly ale všechny oblasti Moravy a </w:t>
      </w:r>
      <w:proofErr w:type="spellStart"/>
      <w:r>
        <w:rPr>
          <w:shd w:val="clear" w:color="auto" w:fill="FFFFFF"/>
        </w:rPr>
        <w:t>SLezska</w:t>
      </w:r>
      <w:proofErr w:type="spellEnd"/>
      <w:r>
        <w:rPr>
          <w:shd w:val="clear" w:color="auto" w:fill="FFFFFF"/>
        </w:rPr>
        <w:t xml:space="preserve"> </w:t>
      </w:r>
    </w:p>
    <w:p w:rsidR="00B970E5" w:rsidRDefault="00B970E5" w:rsidP="00412FC6">
      <w:pPr>
        <w:pStyle w:val="Bezmezer"/>
        <w:rPr>
          <w:shd w:val="clear" w:color="auto" w:fill="FFFFFF"/>
        </w:rPr>
      </w:pPr>
    </w:p>
    <w:p w:rsidR="00631BA1" w:rsidRDefault="00631BA1" w:rsidP="00412FC6">
      <w:pPr>
        <w:pStyle w:val="Bezmezer"/>
        <w:rPr>
          <w:shd w:val="clear" w:color="auto" w:fill="FFFFFF"/>
        </w:rPr>
      </w:pPr>
      <w:r>
        <w:rPr>
          <w:shd w:val="clear" w:color="auto" w:fill="FFFFFF"/>
        </w:rPr>
        <w:t>Uvnitř každé z těchto čtyř skupin se vyskytují místní nářečí, rozdíly mezi nimi se stírají a vznikají tzv. nadnářeční útvary, které zahrnují prvky více dialektů (</w:t>
      </w:r>
      <w:r w:rsidRPr="009F2EEF">
        <w:rPr>
          <w:u w:val="single"/>
          <w:shd w:val="clear" w:color="auto" w:fill="FFFFFF"/>
        </w:rPr>
        <w:t>interdialekty</w:t>
      </w:r>
      <w:r>
        <w:rPr>
          <w:shd w:val="clear" w:color="auto" w:fill="FFFFFF"/>
        </w:rPr>
        <w:t>)</w:t>
      </w:r>
    </w:p>
    <w:p w:rsidR="00412FC6" w:rsidRPr="00412FC6" w:rsidRDefault="00412FC6" w:rsidP="00412FC6">
      <w:pPr>
        <w:pStyle w:val="Bezmezer"/>
        <w:rPr>
          <w:shd w:val="clear" w:color="auto" w:fill="FFFFFF"/>
        </w:rPr>
      </w:pPr>
    </w:p>
    <w:tbl>
      <w:tblPr>
        <w:tblStyle w:val="Mkatabulky"/>
        <w:tblW w:w="0" w:type="auto"/>
        <w:tblLook w:val="04A0"/>
      </w:tblPr>
      <w:tblGrid>
        <w:gridCol w:w="7072"/>
        <w:gridCol w:w="7072"/>
      </w:tblGrid>
      <w:tr w:rsidR="00412FC6" w:rsidTr="00412FC6">
        <w:tc>
          <w:tcPr>
            <w:tcW w:w="7072" w:type="dxa"/>
          </w:tcPr>
          <w:p w:rsidR="00412FC6" w:rsidRDefault="00412FC6" w:rsidP="00631BA1">
            <w:pPr>
              <w:rPr>
                <w:color w:val="000000"/>
                <w:shd w:val="clear" w:color="auto" w:fill="FFFFFF"/>
              </w:rPr>
            </w:pPr>
            <w:r w:rsidRPr="00412FC6">
              <w:rPr>
                <w:color w:val="000000"/>
                <w:shd w:val="clear" w:color="auto" w:fill="FFFFFF"/>
              </w:rPr>
              <w:drawing>
                <wp:inline distT="0" distB="0" distL="0" distR="0">
                  <wp:extent cx="3333750" cy="2000250"/>
                  <wp:effectExtent l="19050" t="0" r="0" b="0"/>
                  <wp:docPr id="5" name="obrázek 1" descr="http://upload.wikimedia.org/wikipedia/commons/thumb/e/e8/Czech_dialects.PNG/350px-Czech_dialec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pload.wikimedia.org/wikipedia/commons/thumb/e/e8/Czech_dialects.PNG/350px-Czech_dialect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2000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72" w:type="dxa"/>
          </w:tcPr>
          <w:p w:rsidR="00412FC6" w:rsidRDefault="00412FC6" w:rsidP="00412FC6">
            <w:pPr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9F9F9"/>
              </w:rPr>
              <w:t>Nářečí češtiny: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9F9F9"/>
              </w:rPr>
              <w:t xml:space="preserve">1 – česká skupina (podskupiny: 1a –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9F9F9"/>
              </w:rPr>
              <w:t>severovýchodočeská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9F9F9"/>
              </w:rPr>
              <w:t xml:space="preserve">, 1b – středočeská, 1c –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9F9F9"/>
              </w:rPr>
              <w:t>jihozápadočeská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9F9F9"/>
              </w:rPr>
              <w:t>, 1d – českomoravská)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9F9F9"/>
              </w:rPr>
              <w:t>2 – středomoravská skupina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9F9F9"/>
              </w:rPr>
              <w:t>3 – východomoravská skupina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9F9F9"/>
              </w:rPr>
              <w:t xml:space="preserve">4 – slezská skupina (4a –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9F9F9"/>
              </w:rPr>
              <w:t>slezskomoravská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9F9F9"/>
              </w:rPr>
              <w:t xml:space="preserve"> podskupina, 4b –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9F9F9"/>
              </w:rPr>
              <w:t>slezskopolská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9F9F9"/>
              </w:rPr>
              <w:t xml:space="preserve"> podskupina)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9F9F9"/>
              </w:rPr>
              <w:t>5 – nářečně různorodé oblasti</w:t>
            </w:r>
          </w:p>
          <w:p w:rsidR="00412FC6" w:rsidRDefault="00412FC6" w:rsidP="00631BA1">
            <w:pPr>
              <w:rPr>
                <w:color w:val="000000"/>
                <w:shd w:val="clear" w:color="auto" w:fill="FFFFFF"/>
              </w:rPr>
            </w:pPr>
          </w:p>
        </w:tc>
      </w:tr>
    </w:tbl>
    <w:p w:rsidR="00412FC6" w:rsidRDefault="00412FC6" w:rsidP="00631BA1">
      <w:pPr>
        <w:rPr>
          <w:color w:val="000000"/>
          <w:sz w:val="22"/>
          <w:shd w:val="clear" w:color="auto" w:fill="FFFFFF"/>
        </w:rPr>
      </w:pPr>
    </w:p>
    <w:p w:rsidR="00631BA1" w:rsidRDefault="00631BA1" w:rsidP="00631BA1">
      <w:pPr>
        <w:rPr>
          <w:color w:val="000000"/>
          <w:sz w:val="22"/>
          <w:shd w:val="clear" w:color="auto" w:fill="FFFFFF"/>
        </w:rPr>
      </w:pPr>
      <w:r>
        <w:rPr>
          <w:color w:val="000000"/>
          <w:sz w:val="22"/>
          <w:shd w:val="clear" w:color="auto" w:fill="FFFFFF"/>
        </w:rPr>
        <w:t xml:space="preserve">Dělení nářečí </w:t>
      </w:r>
    </w:p>
    <w:tbl>
      <w:tblPr>
        <w:tblStyle w:val="Mkatabulky"/>
        <w:tblW w:w="0" w:type="auto"/>
        <w:tblLook w:val="04A0"/>
      </w:tblPr>
      <w:tblGrid>
        <w:gridCol w:w="2303"/>
        <w:gridCol w:w="2303"/>
        <w:gridCol w:w="2590"/>
        <w:gridCol w:w="2016"/>
      </w:tblGrid>
      <w:tr w:rsidR="00631BA1" w:rsidTr="00A83034">
        <w:tc>
          <w:tcPr>
            <w:tcW w:w="2303" w:type="dxa"/>
          </w:tcPr>
          <w:p w:rsidR="00631BA1" w:rsidRDefault="00631BA1" w:rsidP="00A83034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Česká nářečí</w:t>
            </w:r>
          </w:p>
          <w:p w:rsidR="00631BA1" w:rsidRDefault="00631BA1" w:rsidP="00A83034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(v užším smyslu)</w:t>
            </w:r>
          </w:p>
        </w:tc>
        <w:tc>
          <w:tcPr>
            <w:tcW w:w="2303" w:type="dxa"/>
          </w:tcPr>
          <w:p w:rsidR="00631BA1" w:rsidRDefault="00631BA1" w:rsidP="00A83034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Středomoravská nářečí</w:t>
            </w:r>
          </w:p>
        </w:tc>
        <w:tc>
          <w:tcPr>
            <w:tcW w:w="2590" w:type="dxa"/>
          </w:tcPr>
          <w:p w:rsidR="00631BA1" w:rsidRDefault="00631BA1" w:rsidP="00A83034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Východomoravská nářečí</w:t>
            </w:r>
          </w:p>
        </w:tc>
        <w:tc>
          <w:tcPr>
            <w:tcW w:w="2016" w:type="dxa"/>
          </w:tcPr>
          <w:p w:rsidR="00631BA1" w:rsidRDefault="00631BA1" w:rsidP="00A83034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Slezská nářečí</w:t>
            </w:r>
          </w:p>
        </w:tc>
      </w:tr>
      <w:tr w:rsidR="00631BA1" w:rsidTr="00A83034">
        <w:tc>
          <w:tcPr>
            <w:tcW w:w="2303" w:type="dxa"/>
          </w:tcPr>
          <w:p w:rsidR="00631BA1" w:rsidRDefault="00631BA1" w:rsidP="00A83034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ý→ej</w:t>
            </w:r>
          </w:p>
          <w:p w:rsidR="00631BA1" w:rsidRDefault="00631BA1" w:rsidP="00A83034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ú→</w:t>
            </w:r>
            <w:proofErr w:type="spellStart"/>
            <w:r>
              <w:rPr>
                <w:color w:val="000000"/>
                <w:shd w:val="clear" w:color="auto" w:fill="FFFFFF"/>
              </w:rPr>
              <w:t>ou</w:t>
            </w:r>
            <w:proofErr w:type="spellEnd"/>
          </w:p>
        </w:tc>
        <w:tc>
          <w:tcPr>
            <w:tcW w:w="2303" w:type="dxa"/>
          </w:tcPr>
          <w:p w:rsidR="00631BA1" w:rsidRDefault="00631BA1" w:rsidP="00A83034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ý→</w:t>
            </w:r>
            <w:proofErr w:type="spellStart"/>
            <w:r>
              <w:rPr>
                <w:color w:val="000000"/>
                <w:shd w:val="clear" w:color="auto" w:fill="FFFFFF"/>
              </w:rPr>
              <w:t>ej</w:t>
            </w:r>
            <w:proofErr w:type="spellEnd"/>
            <w:r>
              <w:rPr>
                <w:color w:val="000000"/>
                <w:shd w:val="clear" w:color="auto" w:fill="FFFFFF"/>
              </w:rPr>
              <w:t>→é</w:t>
            </w:r>
          </w:p>
          <w:p w:rsidR="00631BA1" w:rsidRDefault="00631BA1" w:rsidP="00A83034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ú→</w:t>
            </w:r>
            <w:proofErr w:type="spellStart"/>
            <w:r>
              <w:rPr>
                <w:color w:val="000000"/>
                <w:shd w:val="clear" w:color="auto" w:fill="FFFFFF"/>
              </w:rPr>
              <w:t>ou</w:t>
            </w:r>
            <w:proofErr w:type="spellEnd"/>
            <w:r>
              <w:rPr>
                <w:color w:val="000000"/>
                <w:shd w:val="clear" w:color="auto" w:fill="FFFFFF"/>
              </w:rPr>
              <w:t>→ó</w:t>
            </w:r>
          </w:p>
        </w:tc>
        <w:tc>
          <w:tcPr>
            <w:tcW w:w="2590" w:type="dxa"/>
          </w:tcPr>
          <w:p w:rsidR="00631BA1" w:rsidRDefault="00631BA1" w:rsidP="00A83034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ý</w:t>
            </w:r>
          </w:p>
          <w:p w:rsidR="00631BA1" w:rsidRDefault="00631BA1" w:rsidP="00A83034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ú</w:t>
            </w:r>
          </w:p>
        </w:tc>
        <w:tc>
          <w:tcPr>
            <w:tcW w:w="2016" w:type="dxa"/>
          </w:tcPr>
          <w:p w:rsidR="00631BA1" w:rsidRDefault="00631BA1" w:rsidP="00A83034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ý→y</w:t>
            </w:r>
          </w:p>
          <w:p w:rsidR="00631BA1" w:rsidRDefault="00631BA1" w:rsidP="00A83034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ú→u</w:t>
            </w:r>
          </w:p>
        </w:tc>
      </w:tr>
      <w:tr w:rsidR="00631BA1" w:rsidTr="00A83034">
        <w:tc>
          <w:tcPr>
            <w:tcW w:w="2303" w:type="dxa"/>
          </w:tcPr>
          <w:p w:rsidR="00631BA1" w:rsidRDefault="00631BA1" w:rsidP="00A83034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Dej mouku ze </w:t>
            </w:r>
            <w:proofErr w:type="spellStart"/>
            <w:r>
              <w:rPr>
                <w:color w:val="000000"/>
                <w:shd w:val="clear" w:color="auto" w:fill="FFFFFF"/>
              </w:rPr>
              <w:t>mlejna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na vozejk</w:t>
            </w:r>
          </w:p>
        </w:tc>
        <w:tc>
          <w:tcPr>
            <w:tcW w:w="2303" w:type="dxa"/>
          </w:tcPr>
          <w:p w:rsidR="00631BA1" w:rsidRDefault="00631BA1" w:rsidP="00A83034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Dej </w:t>
            </w:r>
            <w:proofErr w:type="spellStart"/>
            <w:r>
              <w:rPr>
                <w:color w:val="000000"/>
                <w:shd w:val="clear" w:color="auto" w:fill="FFFFFF"/>
              </w:rPr>
              <w:t>móku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ze </w:t>
            </w:r>
            <w:proofErr w:type="spellStart"/>
            <w:r>
              <w:rPr>
                <w:color w:val="000000"/>
                <w:shd w:val="clear" w:color="auto" w:fill="FFFFFF"/>
              </w:rPr>
              <w:t>mléna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na </w:t>
            </w:r>
            <w:proofErr w:type="spellStart"/>
            <w:r>
              <w:rPr>
                <w:color w:val="000000"/>
                <w:shd w:val="clear" w:color="auto" w:fill="FFFFFF"/>
              </w:rPr>
              <w:t>vozék</w:t>
            </w:r>
            <w:proofErr w:type="spellEnd"/>
          </w:p>
        </w:tc>
        <w:tc>
          <w:tcPr>
            <w:tcW w:w="2590" w:type="dxa"/>
          </w:tcPr>
          <w:p w:rsidR="00631BA1" w:rsidRDefault="00631BA1" w:rsidP="00A83034">
            <w:pPr>
              <w:jc w:val="center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Daj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múku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ze mlýna na vozík</w:t>
            </w:r>
          </w:p>
        </w:tc>
        <w:tc>
          <w:tcPr>
            <w:tcW w:w="2016" w:type="dxa"/>
          </w:tcPr>
          <w:p w:rsidR="00631BA1" w:rsidRDefault="00631BA1" w:rsidP="00A83034">
            <w:pPr>
              <w:jc w:val="center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Daj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muku ze </w:t>
            </w:r>
            <w:proofErr w:type="spellStart"/>
            <w:r>
              <w:rPr>
                <w:color w:val="000000"/>
                <w:shd w:val="clear" w:color="auto" w:fill="FFFFFF"/>
              </w:rPr>
              <w:t>mlyna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na </w:t>
            </w:r>
            <w:proofErr w:type="spellStart"/>
            <w:r>
              <w:rPr>
                <w:color w:val="000000"/>
                <w:shd w:val="clear" w:color="auto" w:fill="FFFFFF"/>
              </w:rPr>
              <w:t>vozik</w:t>
            </w:r>
            <w:proofErr w:type="spellEnd"/>
          </w:p>
        </w:tc>
      </w:tr>
    </w:tbl>
    <w:p w:rsidR="00631BA1" w:rsidRDefault="00631BA1"/>
    <w:p w:rsidR="00631BA1" w:rsidRPr="00631BA1" w:rsidRDefault="00631BA1">
      <w:pPr>
        <w:rPr>
          <w:b/>
        </w:rPr>
      </w:pPr>
      <w:r w:rsidRPr="00631BA1">
        <w:rPr>
          <w:b/>
        </w:rPr>
        <w:lastRenderedPageBreak/>
        <w:t>Hlavní znaky jednotlivých nářečí:</w:t>
      </w:r>
    </w:p>
    <w:p w:rsidR="00631BA1" w:rsidRDefault="00631BA1">
      <w:r w:rsidRPr="00631BA1">
        <w:rPr>
          <w:noProof/>
          <w:lang w:eastAsia="cs-CZ"/>
        </w:rPr>
        <w:drawing>
          <wp:inline distT="0" distB="0" distL="0" distR="0">
            <wp:extent cx="8801100" cy="5524346"/>
            <wp:effectExtent l="19050" t="0" r="0" b="0"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0" cy="5524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BA1" w:rsidRDefault="00631BA1">
      <w:r>
        <w:rPr>
          <w:noProof/>
          <w:lang w:eastAsia="cs-CZ"/>
        </w:rPr>
        <w:lastRenderedPageBreak/>
        <w:drawing>
          <wp:inline distT="0" distB="0" distL="0" distR="0">
            <wp:extent cx="8950894" cy="5848350"/>
            <wp:effectExtent l="19050" t="0" r="2606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0894" cy="584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BA1" w:rsidRDefault="00631BA1">
      <w:r>
        <w:rPr>
          <w:noProof/>
          <w:lang w:eastAsia="cs-CZ"/>
        </w:rPr>
        <w:lastRenderedPageBreak/>
        <w:drawing>
          <wp:inline distT="0" distB="0" distL="0" distR="0">
            <wp:extent cx="8868475" cy="5886450"/>
            <wp:effectExtent l="19050" t="0" r="882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8475" cy="588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BA1" w:rsidRDefault="00631BA1">
      <w:r>
        <w:rPr>
          <w:noProof/>
          <w:lang w:eastAsia="cs-CZ"/>
        </w:rPr>
        <w:lastRenderedPageBreak/>
        <w:drawing>
          <wp:inline distT="0" distB="0" distL="0" distR="0">
            <wp:extent cx="8953500" cy="5476875"/>
            <wp:effectExtent l="1905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5871" cy="547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31BA1" w:rsidSect="00631BA1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07942"/>
    <w:multiLevelType w:val="multilevel"/>
    <w:tmpl w:val="5C2EE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A2A035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4BAD7907"/>
    <w:multiLevelType w:val="hybridMultilevel"/>
    <w:tmpl w:val="C87CD822"/>
    <w:lvl w:ilvl="0" w:tplc="CFEC41C2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A201EA"/>
    <w:multiLevelType w:val="multilevel"/>
    <w:tmpl w:val="2FAE8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31BA1"/>
    <w:rsid w:val="00191B98"/>
    <w:rsid w:val="003D38F7"/>
    <w:rsid w:val="00412FC6"/>
    <w:rsid w:val="005B2B7B"/>
    <w:rsid w:val="00631BA1"/>
    <w:rsid w:val="008A1FC4"/>
    <w:rsid w:val="00992738"/>
    <w:rsid w:val="00B110C8"/>
    <w:rsid w:val="00B970E5"/>
    <w:rsid w:val="00E722F6"/>
    <w:rsid w:val="00F55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Oficiální"/>
    <w:qFormat/>
    <w:rsid w:val="00631BA1"/>
    <w:pPr>
      <w:spacing w:line="360" w:lineRule="auto"/>
      <w:jc w:val="both"/>
    </w:pPr>
    <w:rPr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722F6"/>
    <w:pPr>
      <w:keepNext/>
      <w:keepLines/>
      <w:numPr>
        <w:numId w:val="2"/>
      </w:numPr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722F6"/>
    <w:pPr>
      <w:keepNext/>
      <w:keepLines/>
      <w:numPr>
        <w:ilvl w:val="1"/>
        <w:numId w:val="2"/>
      </w:numPr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22F6"/>
    <w:pPr>
      <w:keepNext/>
      <w:keepLines/>
      <w:numPr>
        <w:ilvl w:val="2"/>
        <w:numId w:val="2"/>
      </w:numPr>
      <w:jc w:val="left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A1FC4"/>
    <w:rPr>
      <w:rFonts w:eastAsiaTheme="majorEastAsi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722F6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A1FC4"/>
    <w:rPr>
      <w:rFonts w:asciiTheme="majorHAnsi" w:eastAsiaTheme="majorEastAsia" w:hAnsiTheme="majorHAnsi" w:cstheme="majorBidi"/>
      <w:b/>
      <w:bCs/>
      <w:sz w:val="24"/>
    </w:rPr>
  </w:style>
  <w:style w:type="paragraph" w:styleId="Bezmezer">
    <w:name w:val="No Spacing"/>
    <w:uiPriority w:val="1"/>
    <w:qFormat/>
    <w:rsid w:val="00631BA1"/>
    <w:pPr>
      <w:spacing w:after="0" w:line="240" w:lineRule="auto"/>
      <w:jc w:val="both"/>
    </w:pPr>
    <w:rPr>
      <w:sz w:val="24"/>
    </w:rPr>
  </w:style>
  <w:style w:type="table" w:styleId="Mkatabulky">
    <w:name w:val="Table Grid"/>
    <w:basedOn w:val="Normlntabulka"/>
    <w:uiPriority w:val="59"/>
    <w:rsid w:val="00631B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31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1B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B970E5"/>
  </w:style>
  <w:style w:type="character" w:styleId="Hypertextovodkaz">
    <w:name w:val="Hyperlink"/>
    <w:basedOn w:val="Standardnpsmoodstavce"/>
    <w:uiPriority w:val="99"/>
    <w:semiHidden/>
    <w:unhideWhenUsed/>
    <w:rsid w:val="00B970E5"/>
    <w:rPr>
      <w:color w:val="0000FF"/>
      <w:u w:val="single"/>
    </w:rPr>
  </w:style>
  <w:style w:type="character" w:customStyle="1" w:styleId="doplnte-zdroj">
    <w:name w:val="doplnte-zdroj"/>
    <w:basedOn w:val="Standardnpsmoodstavce"/>
    <w:rsid w:val="00B110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3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s.wikipedia.org/wiki/Asimilace_zn%C4%9Blosti" TargetMode="External"/><Relationship Id="rId11" Type="http://schemas.openxmlformats.org/officeDocument/2006/relationships/image" Target="media/image5.png"/><Relationship Id="rId5" Type="http://schemas.openxmlformats.org/officeDocument/2006/relationships/hyperlink" Target="http://cs.wikipedia.org/wiki/Asimilace_zn%C4%9Blosti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523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M.F.</dc:creator>
  <cp:lastModifiedBy>M.F.</cp:lastModifiedBy>
  <cp:revision>2</cp:revision>
  <dcterms:created xsi:type="dcterms:W3CDTF">2013-05-01T20:56:00Z</dcterms:created>
  <dcterms:modified xsi:type="dcterms:W3CDTF">2013-05-03T20:54:00Z</dcterms:modified>
</cp:coreProperties>
</file>